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  <w:widowControl/>
      </w:pPr>
      <w:r>
        <w:rPr>
          <w:rFonts w:ascii="Aptos" w:hAnsi="Aptos"/>
          <w:b/>
          <w:color w:val="12A7A1"/>
          <w:sz w:val="20"/>
        </w:rPr>
        <w:t>20. KHVHD ULUSLARARASI SÜREKLİ EĞİTİM KONGRESİ</w:t>
      </w:r>
    </w:p>
    <w:p>
      <w:pPr>
        <w:pStyle w:val="Title"/>
        <w:spacing w:after="60"/>
        <w:jc w:val="center"/>
        <w:widowControl/>
      </w:pPr>
      <w:r>
        <w:t>Poster Bildiri Hazırlama ve Sergileme Kuralları</w:t>
      </w:r>
    </w:p>
    <w:p>
      <w:pPr>
        <w:spacing w:after="240"/>
        <w:jc w:val="center"/>
        <w:widowControl/>
      </w:pPr>
      <w:r>
        <w:rPr>
          <w:b/>
          <w:color w:val="12304A"/>
          <w:sz w:val="21"/>
        </w:rPr>
        <w:t>5–7 Kasım 2026  •  Wyndham Grand İstanbul Levent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3293"/>
        <w:gridCol w:w="3293"/>
        <w:gridCol w:w="3293"/>
      </w:tblGrid>
      <w:tr>
        <w:tc>
          <w:tcPr>
            <w:tcW w:type="dxa" w:w="3096"/>
            <w:shd w:fill="12304A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Poster ölçüsü</w:t>
            </w:r>
          </w:p>
        </w:tc>
        <w:tc>
          <w:tcPr>
            <w:tcW w:type="dxa" w:w="3096"/>
            <w:shd w:fill="12304A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Dijital teslim tarihi</w:t>
            </w:r>
          </w:p>
        </w:tc>
        <w:tc>
          <w:tcPr>
            <w:tcW w:type="dxa" w:w="3384"/>
            <w:shd w:fill="12304A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Gönderim adresi</w:t>
            </w:r>
          </w:p>
        </w:tc>
      </w:tr>
      <w:tr>
        <w:tc>
          <w:tcPr>
            <w:tcW w:type="dxa" w:w="3096"/>
            <w:shd w:fill="EEF7F6"/>
            <w:tcMar>
              <w:top w:w="130" w:type="dxa"/>
              <w:start w:w="140" w:type="dxa"/>
              <w:bottom w:w="130" w:type="dxa"/>
              <w:end w:w="1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2304A"/>
                <w:sz w:val="20"/>
              </w:rPr>
              <w:t>A0  •  Dikey</w:t>
            </w:r>
          </w:p>
        </w:tc>
        <w:tc>
          <w:tcPr>
            <w:tcW w:type="dxa" w:w="3096"/>
            <w:shd w:fill="FFF8E7"/>
            <w:tcMar>
              <w:top w:w="130" w:type="dxa"/>
              <w:start w:w="140" w:type="dxa"/>
              <w:bottom w:w="130" w:type="dxa"/>
              <w:end w:w="1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2304A"/>
                <w:sz w:val="20"/>
              </w:rPr>
              <w:t>15 Ekim 2026</w:t>
            </w:r>
          </w:p>
        </w:tc>
        <w:tc>
          <w:tcPr>
            <w:tcW w:type="dxa" w:w="3384"/>
            <w:shd w:fill="EEF7F6"/>
            <w:tcMar>
              <w:top w:w="130" w:type="dxa"/>
              <w:start w:w="140" w:type="dxa"/>
              <w:bottom w:w="130" w:type="dxa"/>
              <w:end w:w="1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2304A"/>
                <w:sz w:val="20"/>
              </w:rPr>
              <w:t>tsava.org@gmail.com</w:t>
            </w:r>
          </w:p>
        </w:tc>
      </w:tr>
    </w:tbl>
    <w:p>
      <w:pPr>
        <w:spacing w:before="200" w:after="120"/>
        <w:widowControl/>
      </w:pPr>
      <w:r>
        <w:t>Kongrede sergilenecek posterlerin bilimsel bütünlüğünü, okunabilirliğini ve değerlendirme sürecindeki eşitliği sağlamak amacıyla aşağıdaki kurallara uyulması gerekmektedir.</w:t>
      </w:r>
    </w:p>
    <w:p>
      <w:pPr>
        <w:pStyle w:val="Heading1"/>
        <w:keepNext/>
        <w:widowControl/>
      </w:pPr>
      <w:r>
        <w:t>1  Poster boyutu ve formatı</w:t>
      </w:r>
    </w:p>
    <w:p>
      <w:pPr>
        <w:pStyle w:val="ListBullet"/>
        <w:spacing w:after="30" w:line="247" w:lineRule="auto"/>
        <w:widowControl/>
      </w:pPr>
      <w:r>
        <w:t>Posterler A0 boyutunda (84,1 × 118,9 cm) ve dikey formatta hazırlanmalıdır.</w:t>
      </w:r>
    </w:p>
    <w:p>
      <w:pPr>
        <w:pStyle w:val="ListBullet"/>
        <w:spacing w:after="30" w:line="247" w:lineRule="auto"/>
        <w:widowControl/>
      </w:pPr>
      <w:r>
        <w:t>Yatay formatta veya belirtilen ölçülerden farklı hazırlanan posterler sergileme panolarına uygun olmayabileceğinden kabul edilmeyebilir.</w:t>
      </w:r>
    </w:p>
    <w:p>
      <w:pPr>
        <w:pStyle w:val="ListBullet"/>
        <w:spacing w:after="30" w:line="247" w:lineRule="auto"/>
        <w:widowControl/>
      </w:pPr>
      <w:r>
        <w:t>Basılı poster sorumlu yazar veya diğer yazarlardan biri tarafından kongre alanına getirilmelidir.</w:t>
      </w:r>
    </w:p>
    <w:p>
      <w:pPr>
        <w:pStyle w:val="Heading1"/>
        <w:keepNext/>
        <w:widowControl/>
      </w:pPr>
      <w:r>
        <w:t>2  Poster dili</w:t>
      </w:r>
    </w:p>
    <w:p>
      <w:pPr>
        <w:pStyle w:val="ListBullet"/>
        <w:spacing w:after="30" w:line="247" w:lineRule="auto"/>
        <w:widowControl/>
      </w:pPr>
      <w:r>
        <w:t>Posterler Türkçe veya İngilizce hazırlanabilir.</w:t>
      </w:r>
    </w:p>
    <w:p>
      <w:pPr>
        <w:pStyle w:val="ListBullet"/>
        <w:spacing w:after="30" w:line="247" w:lineRule="auto"/>
        <w:widowControl/>
      </w:pPr>
      <w:r>
        <w:t>Poster başlığı, yazar adları ve kurum bilgileri açık ve eksiksiz biçimde belirtilmelidir.</w:t>
      </w:r>
    </w:p>
    <w:p>
      <w:pPr>
        <w:pStyle w:val="ListBullet"/>
        <w:spacing w:after="30" w:line="247" w:lineRule="auto"/>
        <w:widowControl/>
      </w:pPr>
      <w:r>
        <w:t>Türkçe hazırlanan posterlerde İngilizce başlık ve İngilizce anahtar kelimelere de yer verilmesi önerilir.</w:t>
      </w:r>
    </w:p>
    <w:p>
      <w:pPr>
        <w:pStyle w:val="Heading1"/>
        <w:keepNext/>
        <w:widowControl/>
      </w:pPr>
      <w:r>
        <w:t>3  Poster içeriği</w:t>
      </w:r>
    </w:p>
    <w:p>
      <w:pPr>
        <w:keepNext/>
        <w:widowControl/>
      </w:pPr>
      <w:r>
        <w:t>Araştırma bildirilerinde mümkün olduğunca aşağıdaki bölümlere yer verilmelidir:</w:t>
      </w:r>
    </w:p>
    <w:p>
      <w:pPr>
        <w:pStyle w:val="ListBullet"/>
        <w:spacing w:after="30" w:line="247" w:lineRule="auto"/>
        <w:widowControl/>
      </w:pPr>
      <w:r>
        <w:t>Bildiri başlığı</w:t>
      </w:r>
    </w:p>
    <w:p>
      <w:pPr>
        <w:pStyle w:val="ListBullet"/>
        <w:spacing w:after="30" w:line="247" w:lineRule="auto"/>
        <w:widowControl/>
      </w:pPr>
      <w:r>
        <w:t>Yazar adları ve kurum bilgileri</w:t>
      </w:r>
    </w:p>
    <w:p>
      <w:pPr>
        <w:pStyle w:val="ListBullet"/>
        <w:spacing w:after="30" w:line="247" w:lineRule="auto"/>
        <w:widowControl/>
      </w:pPr>
      <w:r>
        <w:t>Sorumlu yazarın iletişim bilgisi</w:t>
      </w:r>
    </w:p>
    <w:p>
      <w:pPr>
        <w:pStyle w:val="ListBullet"/>
        <w:spacing w:after="30" w:line="247" w:lineRule="auto"/>
        <w:widowControl/>
      </w:pPr>
      <w:r>
        <w:t>Giriş ve amaç</w:t>
      </w:r>
    </w:p>
    <w:p>
      <w:pPr>
        <w:pStyle w:val="ListBullet"/>
        <w:spacing w:after="30" w:line="247" w:lineRule="auto"/>
        <w:widowControl/>
      </w:pPr>
      <w:r>
        <w:t>Gereç ve yöntem</w:t>
      </w:r>
    </w:p>
    <w:p>
      <w:pPr>
        <w:pStyle w:val="ListBullet"/>
        <w:spacing w:after="30" w:line="247" w:lineRule="auto"/>
        <w:widowControl/>
      </w:pPr>
      <w:r>
        <w:t>Bulgular</w:t>
      </w:r>
    </w:p>
    <w:p>
      <w:pPr>
        <w:pStyle w:val="ListBullet"/>
        <w:spacing w:after="30" w:line="247" w:lineRule="auto"/>
        <w:widowControl/>
      </w:pPr>
      <w:r>
        <w:t>Tartışma ve sonuç</w:t>
      </w:r>
    </w:p>
    <w:p>
      <w:pPr>
        <w:pStyle w:val="ListBullet"/>
        <w:spacing w:after="30" w:line="247" w:lineRule="auto"/>
        <w:widowControl/>
      </w:pPr>
      <w:r>
        <w:t>Kaynaklar</w:t>
      </w:r>
    </w:p>
    <w:p>
      <w:pPr>
        <w:pStyle w:val="ListBullet"/>
        <w:spacing w:after="30" w:line="247" w:lineRule="auto"/>
        <w:widowControl/>
      </w:pPr>
      <w:r>
        <w:t>Varsa etik kurul onayı</w:t>
      </w:r>
    </w:p>
    <w:p>
      <w:pPr>
        <w:pStyle w:val="ListBullet"/>
        <w:spacing w:after="30" w:line="247" w:lineRule="auto"/>
        <w:widowControl/>
      </w:pPr>
      <w:r>
        <w:t>Çıkar çatışması ve finansal destek beyanı</w:t>
      </w:r>
    </w:p>
    <w:p>
      <w:pPr>
        <w:widowControl/>
      </w:pPr>
      <w:r>
        <w:rPr>
          <w:b/>
        </w:rPr>
        <w:t xml:space="preserve">Olgu sunumlarında </w:t>
      </w:r>
      <w:r>
        <w:t>giriş, olgunun tanımlanması, klinik bulgular, tanı, tedavi, takip ve sonuç başlıkları kullanılabilir.</w:t>
      </w:r>
    </w:p>
    <w:p>
      <w:pPr>
        <w:pStyle w:val="Heading1"/>
        <w:keepNext/>
        <w:widowControl/>
      </w:pPr>
      <w:r>
        <w:t>4  Görsel düzen ve okunabilirlik</w:t>
      </w:r>
    </w:p>
    <w:p>
      <w:pPr>
        <w:pStyle w:val="ListBullet"/>
        <w:spacing w:after="30" w:line="247" w:lineRule="auto"/>
        <w:widowControl/>
      </w:pPr>
      <w:r>
        <w:t>Poster yaklaşık 1–1,5 metre mesafeden rahatlıkla okunabilecek şekilde hazırlanmalıdır.</w:t>
      </w:r>
    </w:p>
    <w:p>
      <w:pPr>
        <w:pStyle w:val="ListBullet"/>
        <w:spacing w:after="30" w:line="247" w:lineRule="auto"/>
        <w:widowControl/>
      </w:pPr>
      <w:r>
        <w:t>Başlık için en az 60 punto, ana metin için en az 24 punto yazı büyüklüğü kullanılması önerilir.</w:t>
      </w:r>
    </w:p>
    <w:p>
      <w:pPr>
        <w:pStyle w:val="ListBullet"/>
        <w:spacing w:after="30" w:line="247" w:lineRule="auto"/>
        <w:widowControl/>
      </w:pPr>
      <w:r>
        <w:t>Sade ve okunaklı bir yazı karakteri kullanılmalı; uzun metinler yerine tablo, grafik, şekil ve görsellerden yararlanılmalıdır.</w:t>
      </w:r>
    </w:p>
    <w:p>
      <w:pPr>
        <w:pStyle w:val="ListBullet"/>
        <w:spacing w:after="30" w:line="247" w:lineRule="auto"/>
        <w:widowControl/>
      </w:pPr>
      <w:r>
        <w:t>Görseller yeterli çözünürlükte olmalı; tablo ve şekil açıklamaları okunabilir büyüklükte hazırlanmalıdır.</w:t>
      </w:r>
    </w:p>
    <w:p>
      <w:pPr>
        <w:pStyle w:val="ListBullet"/>
        <w:spacing w:after="30" w:line="247" w:lineRule="auto"/>
        <w:widowControl/>
      </w:pPr>
      <w:r>
        <w:t>Hasta veya hayvan sahibinin kimliğini ortaya çıkarabilecek kişisel bilgilere yer verilmemelidir.</w:t>
      </w:r>
    </w:p>
    <w:p>
      <w:pPr>
        <w:pStyle w:val="Heading1"/>
        <w:keepNext/>
        <w:widowControl/>
      </w:pPr>
      <w:r>
        <w:t>5  Bilimsel ve etik sorumluluk</w:t>
      </w:r>
    </w:p>
    <w:p>
      <w:pPr>
        <w:pStyle w:val="ListBullet"/>
        <w:spacing w:after="30" w:line="247" w:lineRule="auto"/>
        <w:widowControl/>
      </w:pPr>
      <w:r>
        <w:t>Poster içeriğinin bilimsel doğruluğundan, özgünlüğünden ve yazım denetiminden yazarlar sorumludur.</w:t>
      </w:r>
    </w:p>
    <w:p>
      <w:pPr>
        <w:pStyle w:val="ListBullet"/>
        <w:spacing w:after="30" w:line="247" w:lineRule="auto"/>
        <w:widowControl/>
      </w:pPr>
      <w:r>
        <w:t>Başka kaynaklardan alınan metin, tablo, şekil ve görseller uygun biçimde kaynak gösterilerek kullanılmalıdır.</w:t>
      </w:r>
    </w:p>
    <w:p>
      <w:pPr>
        <w:pStyle w:val="ListBullet"/>
        <w:spacing w:after="30" w:line="247" w:lineRule="auto"/>
        <w:widowControl/>
      </w:pPr>
      <w:r>
        <w:t>Gerekli çalışmalarda etik kurul onay bilgisi poster üzerinde belirtilmelidir.</w:t>
      </w:r>
    </w:p>
    <w:p>
      <w:pPr>
        <w:pStyle w:val="ListBullet"/>
        <w:spacing w:after="30" w:line="247" w:lineRule="auto"/>
        <w:widowControl/>
      </w:pPr>
      <w:r>
        <w:t>Çıkar çatışmaları ve finansal destekler açıkça beyan edilmelidir.</w:t>
      </w:r>
    </w:p>
    <w:p>
      <w:pPr>
        <w:pStyle w:val="ListBullet"/>
        <w:spacing w:after="30" w:line="247" w:lineRule="auto"/>
        <w:widowControl/>
      </w:pPr>
      <w:r>
        <w:t>Bilimsel içerikle doğrudan ilişkili olmayan ticari veya reklam niteliğindeki tanıtımlara yer verilmemelidir.</w:t>
      </w:r>
    </w:p>
    <w:p>
      <w:pPr>
        <w:pStyle w:val="Heading1"/>
        <w:keepNext/>
        <w:widowControl/>
      </w:pPr>
      <w:r>
        <w:t>6  Poster numarası asım ve sergileme</w:t>
      </w:r>
    </w:p>
    <w:p>
      <w:pPr>
        <w:pStyle w:val="ListBullet"/>
        <w:spacing w:after="30" w:line="247" w:lineRule="auto"/>
        <w:widowControl/>
      </w:pPr>
      <w:r>
        <w:t>Kabul edilen posterler bilimsel konu alanlarına göre gruplandırılmış ve her alan içinde sorumlu yazarın soyadına göre alfabetik olarak sıralanmıştır.</w:t>
      </w:r>
    </w:p>
    <w:p>
      <w:pPr>
        <w:pStyle w:val="ListBullet"/>
        <w:spacing w:after="30" w:line="247" w:lineRule="auto"/>
        <w:widowControl/>
      </w:pPr>
      <w:r>
        <w:t>Her bildiriye P-01, P-02, P-03 biçiminde bir poster numarası verilmiştir. Poster numarası kabul e-postasında sorumlu yazara bildirilir.</w:t>
      </w:r>
    </w:p>
    <w:p>
      <w:pPr>
        <w:pStyle w:val="ListBullet"/>
        <w:spacing w:after="30" w:line="247" w:lineRule="auto"/>
        <w:widowControl/>
      </w:pPr>
      <w:r>
        <w:t>Poster numarası basılı posterin sağ üst köşesinde kolaylıkla görülebilecek şekilde yer almalıdır.</w:t>
      </w:r>
    </w:p>
    <w:p>
      <w:pPr>
        <w:pStyle w:val="ListBullet"/>
        <w:spacing w:after="30" w:line="247" w:lineRule="auto"/>
        <w:widowControl/>
      </w:pPr>
      <w:r>
        <w:t>Posterler yalnızca kendileri için ayrılan ve numaralandırılan panolara asılmalıdır.</w:t>
      </w:r>
    </w:p>
    <w:p>
      <w:pPr>
        <w:pStyle w:val="ListBullet"/>
        <w:spacing w:after="30" w:line="247" w:lineRule="auto"/>
        <w:widowControl/>
      </w:pPr>
      <w:r>
        <w:t>Asım ve kaldırma işlemleri programda bildirilecek saatler içinde gerçekleştirilmelidir. Yalnızca organizasyon tarafından izin verilen sabitleme malzemeleri kullanılmalıdır.</w:t>
      </w:r>
    </w:p>
    <w:p>
      <w:pPr>
        <w:pStyle w:val="ListBullet"/>
        <w:spacing w:after="30" w:line="247" w:lineRule="auto"/>
        <w:widowControl/>
      </w:pPr>
      <w:r>
        <w:t>Kaldırma saatinden sonra panolarda bırakılan posterlerden Kongre Düzenleme Kurulu sorumlu değildir.</w:t>
      </w:r>
    </w:p>
    <w:p>
      <w:pPr>
        <w:pStyle w:val="Heading1"/>
        <w:keepNext/>
        <w:widowControl/>
      </w:pPr>
      <w:r>
        <w:t>7  Kongre katılımı ve poster değerlendirmesi</w:t>
      </w:r>
    </w:p>
    <w:p>
      <w:pPr>
        <w:pStyle w:val="ListBullet"/>
        <w:spacing w:after="30" w:line="247" w:lineRule="auto"/>
        <w:widowControl/>
      </w:pPr>
      <w:r>
        <w:t>Kabul edilen posterin sergilenebilmesi için yazarlardan en az birinin kongreye kayıt yaptırmış olması gerekmektedir.</w:t>
      </w:r>
    </w:p>
    <w:p>
      <w:pPr>
        <w:pStyle w:val="ListBullet"/>
        <w:spacing w:after="30" w:line="247" w:lineRule="auto"/>
        <w:widowControl/>
      </w:pPr>
      <w:r>
        <w:t>Poster sunumundan sorumlu yazarın, ilan edilecek değerlendirme saatinde posterinin başında bulunması beklenmektedir.</w:t>
      </w:r>
    </w:p>
    <w:p>
      <w:pPr>
        <w:pStyle w:val="ListBullet"/>
        <w:spacing w:after="30" w:line="247" w:lineRule="auto"/>
        <w:widowControl/>
      </w:pPr>
      <w:r>
        <w:t>Poster değerlendirme programı, poster alanı ile asım ve kaldırma saatleri kongre öncesinde ayrıca duyurulacaktır.</w:t>
      </w:r>
    </w:p>
    <w:p>
      <w:pPr>
        <w:pStyle w:val="ListBullet"/>
        <w:spacing w:after="30" w:line="247" w:lineRule="auto"/>
        <w:widowControl/>
      </w:pPr>
      <w:r>
        <w:t>Kongreye kayıt yaptırılmaması veya posterin belirtilen süre içinde sergilenmemesi durumunda bildiri kongre programından ve bildiri kitabından çıkarılabilir.</w:t>
      </w:r>
    </w:p>
    <w:p>
      <w:pPr>
        <w:pStyle w:val="Heading1"/>
        <w:keepNext/>
        <w:widowControl/>
      </w:pPr>
      <w:r>
        <w:t>8  Dijital posterin gönderilmesi</w:t>
      </w:r>
    </w:p>
    <w:p>
      <w:pPr>
        <w:pStyle w:val="ListBullet"/>
        <w:spacing w:after="30" w:line="247" w:lineRule="auto"/>
        <w:widowControl/>
      </w:pPr>
      <w:r>
        <w:t>Posterin son dijital kopyası PDF formatında hazırlanmalıdır.</w:t>
      </w:r>
    </w:p>
    <w:p>
      <w:pPr>
        <w:pStyle w:val="ListBullet"/>
        <w:spacing w:after="30" w:line="247" w:lineRule="auto"/>
        <w:widowControl/>
      </w:pPr>
      <w:r>
        <w:t>Dosya adı “Poster numarası_Sorumlu yazarın adı soyadı” biçiminde düzenlenmelidir. Örnek: P-07_Hakkı Seçkin Çetin.pdf</w:t>
      </w:r>
    </w:p>
    <w:p>
      <w:pPr>
        <w:pStyle w:val="ListBullet"/>
        <w:spacing w:after="30" w:line="247" w:lineRule="auto"/>
        <w:widowControl/>
      </w:pPr>
      <w:r>
        <w:t>Dijital dosya en geç 15 Ekim 2026 tarihine kadar tsava.org@gmail.com adresine gönderilmelidir.</w:t>
      </w:r>
    </w:p>
    <w:p>
      <w:pPr>
        <w:pStyle w:val="ListBullet"/>
        <w:spacing w:after="30" w:line="247" w:lineRule="auto"/>
        <w:widowControl/>
      </w:pPr>
      <w:r>
        <w:t>Gönderilen dijital dosyanın içeriği ile kongre alanında sergilenecek basılı posterin içeriği aynı olmalıdır.</w:t>
      </w:r>
    </w:p>
    <w:p>
      <w:pPr>
        <w:spacing w:before="240" w:after="40"/>
        <w:jc w:val="center"/>
        <w:widowControl/>
      </w:pPr>
      <w:r>
        <w:rPr>
          <w:b/>
          <w:color w:val="12304A"/>
        </w:rPr>
        <w:t>20. KHVHD Uluslararası Sürekli Eğitim Kongresi</w:t>
      </w:r>
    </w:p>
    <w:p>
      <w:pPr>
        <w:spacing w:after="0"/>
        <w:jc w:val="center"/>
        <w:widowControl/>
      </w:pPr>
      <w:r>
        <w:rPr>
          <w:b/>
          <w:color w:val="12A7A1"/>
        </w:rPr>
        <w:t>Bilimsel ve Düzenleme Kurulu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12304A"/>
        <w:sz w:val="16"/>
      </w:rPr>
      <w:t>5–7 Kasım 2026  |  Wyndham Grand İstanbul Levent  |  khvhdkongre.com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04A"/>
        <w:sz w:val="17"/>
      </w:rPr>
      <w:t>KHVHD  •  20. YIL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ptos" w:hAnsi="Aptos"/>
      <w:color w:val="202A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